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B35D" w14:textId="4B042487" w:rsidR="00A252B8" w:rsidRPr="00DA3ECD" w:rsidRDefault="004900A5" w:rsidP="00EE3824">
      <w:pPr>
        <w:outlineLvl w:val="0"/>
        <w:rPr>
          <w:rFonts w:ascii="Times New Roman" w:hAnsi="Times New Roman" w:cs="Times New Roman"/>
          <w:noProof/>
          <w:sz w:val="24"/>
          <w:highlight w:val="yellow"/>
        </w:rPr>
      </w:pPr>
      <w:r w:rsidRPr="00DA3ECD">
        <w:rPr>
          <w:rFonts w:ascii="Times New Roman" w:hAnsi="Times New Roman" w:cs="Times New Roman"/>
          <w:noProof/>
          <w:sz w:val="24"/>
          <w:highlight w:val="yellow"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DA3ECD">
        <w:rPr>
          <w:rFonts w:ascii="Times New Roman" w:hAnsi="Times New Roman" w:cs="Times New Roman"/>
          <w:noProof/>
          <w:sz w:val="24"/>
          <w:highlight w:val="yellow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3969"/>
        <w:gridCol w:w="851"/>
        <w:gridCol w:w="1701"/>
        <w:gridCol w:w="570"/>
        <w:gridCol w:w="1981"/>
      </w:tblGrid>
      <w:tr w:rsidR="004E6BB5" w:rsidRPr="00DA3ECD" w14:paraId="1F04F5F4" w14:textId="5106D2EB" w:rsidTr="00CA0A5B">
        <w:trPr>
          <w:trHeight w:val="395"/>
        </w:trPr>
        <w:tc>
          <w:tcPr>
            <w:tcW w:w="3969" w:type="dxa"/>
            <w:vMerge w:val="restart"/>
          </w:tcPr>
          <w:p w14:paraId="038D85E3" w14:textId="47D715EA" w:rsidR="00D70267" w:rsidRPr="00DA3ECD" w:rsidRDefault="008347DC" w:rsidP="00D70267">
            <w:pPr>
              <w:tabs>
                <w:tab w:val="left" w:pos="7320"/>
              </w:tabs>
              <w:rPr>
                <w:rFonts w:cs="Arial"/>
                <w:b/>
                <w:szCs w:val="20"/>
                <w:lang w:val="et-EE"/>
              </w:rPr>
            </w:pPr>
            <w:r w:rsidRPr="00DA3ECD">
              <w:rPr>
                <w:rFonts w:cs="Arial"/>
                <w:b/>
                <w:szCs w:val="20"/>
                <w:lang w:val="et-EE"/>
              </w:rPr>
              <w:t>Maksejõuetusteenistus</w:t>
            </w:r>
          </w:p>
          <w:p w14:paraId="4F0447C8" w14:textId="3CDB3A22" w:rsidR="008C2CF1" w:rsidRPr="00DA3ECD" w:rsidRDefault="008C2CF1" w:rsidP="005A21DB">
            <w:pPr>
              <w:tabs>
                <w:tab w:val="left" w:pos="7320"/>
              </w:tabs>
              <w:rPr>
                <w:rFonts w:cs="Arial"/>
                <w:b/>
                <w:szCs w:val="20"/>
                <w:lang w:val="et-EE"/>
              </w:rPr>
            </w:pPr>
          </w:p>
        </w:tc>
        <w:tc>
          <w:tcPr>
            <w:tcW w:w="851" w:type="dxa"/>
            <w:vAlign w:val="center"/>
          </w:tcPr>
          <w:p w14:paraId="1808A740" w14:textId="7D80BDF4" w:rsidR="004E6BB5" w:rsidRPr="00DA3ECD" w:rsidRDefault="004E6BB5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val="et-EE"/>
              </w:rPr>
            </w:pPr>
            <w:bookmarkStart w:id="0" w:name="_Hlk60063564"/>
            <w:r w:rsidRPr="00DA3ECD">
              <w:rPr>
                <w:rFonts w:cs="Arial"/>
                <w:szCs w:val="20"/>
                <w:lang w:val="et-EE"/>
              </w:rPr>
              <w:t>Teie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4E6BB5" w:rsidRPr="00DA3ECD" w:rsidRDefault="004E6BB5">
            <w:pPr>
              <w:rPr>
                <w:rFonts w:cs="Arial"/>
                <w:szCs w:val="20"/>
                <w:lang w:val="et-EE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auto"/>
            <w:vAlign w:val="center"/>
          </w:tcPr>
          <w:p w14:paraId="501FCE74" w14:textId="275CE185" w:rsidR="004E6BB5" w:rsidRPr="00DA3ECD" w:rsidRDefault="004E6BB5" w:rsidP="004E6BB5">
            <w:pPr>
              <w:jc w:val="right"/>
              <w:rPr>
                <w:rFonts w:cs="Arial"/>
                <w:szCs w:val="20"/>
                <w:lang w:val="et-EE"/>
              </w:rPr>
            </w:pPr>
            <w:r w:rsidRPr="00DA3ECD">
              <w:rPr>
                <w:rFonts w:cs="Arial"/>
                <w:szCs w:val="20"/>
                <w:lang w:val="et-EE"/>
              </w:rPr>
              <w:t xml:space="preserve"> nr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14A37765" w14:textId="6385832E" w:rsidR="004E6BB5" w:rsidRPr="00DA3ECD" w:rsidRDefault="004E6BB5">
            <w:pPr>
              <w:rPr>
                <w:rFonts w:cs="Arial"/>
                <w:szCs w:val="20"/>
                <w:lang w:val="et-EE"/>
              </w:rPr>
            </w:pPr>
          </w:p>
        </w:tc>
      </w:tr>
      <w:tr w:rsidR="004E6BB5" w:rsidRPr="00DA3ECD" w14:paraId="7C00190A" w14:textId="50AF100B" w:rsidTr="00CA0A5B">
        <w:trPr>
          <w:trHeight w:val="323"/>
        </w:trPr>
        <w:tc>
          <w:tcPr>
            <w:tcW w:w="3969" w:type="dxa"/>
            <w:vMerge/>
          </w:tcPr>
          <w:p w14:paraId="019DD76F" w14:textId="77777777" w:rsidR="004E6BB5" w:rsidRPr="00DA3ECD" w:rsidRDefault="004E6BB5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val="et-EE"/>
              </w:rPr>
            </w:pPr>
          </w:p>
        </w:tc>
        <w:tc>
          <w:tcPr>
            <w:tcW w:w="851" w:type="dxa"/>
            <w:vAlign w:val="center"/>
          </w:tcPr>
          <w:p w14:paraId="49FFF8FF" w14:textId="7242A416" w:rsidR="004E6BB5" w:rsidRPr="00DA3ECD" w:rsidRDefault="004E6BB5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  <w:lang w:val="et-EE"/>
              </w:rPr>
            </w:pPr>
            <w:r w:rsidRPr="00DA3ECD">
              <w:rPr>
                <w:rFonts w:cs="Arial"/>
                <w:szCs w:val="20"/>
                <w:lang w:val="et-EE"/>
              </w:rPr>
              <w:t>Meie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718E168" w:rsidR="004E6BB5" w:rsidRPr="00DA3ECD" w:rsidRDefault="00C35555" w:rsidP="008E3D59">
            <w:pPr>
              <w:jc w:val="center"/>
              <w:rPr>
                <w:rFonts w:cs="Arial"/>
                <w:szCs w:val="20"/>
                <w:lang w:val="et-EE"/>
              </w:rPr>
            </w:pPr>
            <w:r>
              <w:rPr>
                <w:rFonts w:cs="Arial"/>
                <w:szCs w:val="20"/>
                <w:lang w:val="et-EE"/>
              </w:rPr>
              <w:t>10</w:t>
            </w:r>
            <w:r w:rsidR="00DA3ECD" w:rsidRPr="00DA3ECD">
              <w:rPr>
                <w:rFonts w:cs="Arial"/>
                <w:szCs w:val="20"/>
                <w:lang w:val="et-EE"/>
              </w:rPr>
              <w:t>.02</w:t>
            </w:r>
            <w:r w:rsidR="008347DC" w:rsidRPr="00DA3ECD">
              <w:rPr>
                <w:rFonts w:cs="Arial"/>
                <w:szCs w:val="20"/>
                <w:lang w:val="et-EE"/>
              </w:rPr>
              <w:t>.2023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auto"/>
            <w:vAlign w:val="center"/>
          </w:tcPr>
          <w:p w14:paraId="2B4969C5" w14:textId="31446D7B" w:rsidR="004E6BB5" w:rsidRPr="00DA3ECD" w:rsidRDefault="004E6BB5" w:rsidP="004E6BB5">
            <w:pPr>
              <w:jc w:val="right"/>
              <w:rPr>
                <w:rFonts w:cs="Arial"/>
                <w:szCs w:val="20"/>
                <w:lang w:val="et-EE"/>
              </w:rPr>
            </w:pPr>
            <w:r w:rsidRPr="00DA3ECD">
              <w:rPr>
                <w:rFonts w:cs="Arial"/>
                <w:szCs w:val="20"/>
                <w:lang w:val="et-EE"/>
              </w:rPr>
              <w:t xml:space="preserve"> nr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31B6A7FC" w:rsidR="004E6BB5" w:rsidRPr="00DA3ECD" w:rsidRDefault="00DA3ECD" w:rsidP="00F33FEA">
            <w:pPr>
              <w:jc w:val="center"/>
              <w:rPr>
                <w:rFonts w:cs="Arial"/>
                <w:szCs w:val="20"/>
                <w:lang w:val="et-EE"/>
              </w:rPr>
            </w:pPr>
            <w:r w:rsidRPr="00DA3ECD">
              <w:rPr>
                <w:rFonts w:cs="Arial"/>
                <w:szCs w:val="20"/>
                <w:lang w:val="et-EE"/>
              </w:rPr>
              <w:t>2-17-14256</w:t>
            </w:r>
          </w:p>
        </w:tc>
      </w:tr>
      <w:bookmarkEnd w:id="0"/>
    </w:tbl>
    <w:p w14:paraId="09F0F75E" w14:textId="77777777" w:rsidR="009C3FD3" w:rsidRPr="00DA3ECD" w:rsidRDefault="009C3FD3" w:rsidP="006B6934">
      <w:pPr>
        <w:tabs>
          <w:tab w:val="left" w:pos="7320"/>
        </w:tabs>
        <w:jc w:val="center"/>
        <w:rPr>
          <w:rFonts w:cs="Arial"/>
          <w:b/>
          <w:szCs w:val="20"/>
          <w:lang w:val="et-EE"/>
        </w:rPr>
      </w:pPr>
    </w:p>
    <w:p w14:paraId="62683C0B" w14:textId="746FDB50" w:rsidR="009C3FD3" w:rsidRPr="00DA3ECD" w:rsidRDefault="008347DC" w:rsidP="00C60F66">
      <w:pPr>
        <w:tabs>
          <w:tab w:val="left" w:pos="7320"/>
        </w:tabs>
        <w:jc w:val="center"/>
        <w:rPr>
          <w:rFonts w:cs="Arial"/>
          <w:sz w:val="22"/>
          <w:szCs w:val="22"/>
          <w:lang w:val="et-EE"/>
        </w:rPr>
      </w:pPr>
      <w:r w:rsidRPr="00DA3ECD">
        <w:rPr>
          <w:rFonts w:cs="Arial"/>
          <w:b/>
          <w:sz w:val="22"/>
          <w:szCs w:val="22"/>
          <w:lang w:val="et-EE"/>
        </w:rPr>
        <w:t>Ettepanek</w:t>
      </w:r>
    </w:p>
    <w:p w14:paraId="21882BCF" w14:textId="448310DA" w:rsidR="00D70267" w:rsidRPr="00DA3ECD" w:rsidRDefault="008347DC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rFonts w:cs="Arial"/>
          <w:sz w:val="22"/>
          <w:szCs w:val="22"/>
          <w:lang w:val="et-EE"/>
        </w:rPr>
        <w:t xml:space="preserve">Harju Maakohtu menetluses on </w:t>
      </w:r>
      <w:r w:rsidR="00DA3ECD" w:rsidRPr="00DA3ECD">
        <w:rPr>
          <w:noProof/>
          <w:sz w:val="22"/>
          <w:szCs w:val="22"/>
        </w:rPr>
        <w:t xml:space="preserve">OÜ Vahetusveeb (pankrotis, registrikood 11596496) </w:t>
      </w:r>
      <w:r w:rsidRPr="00DA3ECD">
        <w:rPr>
          <w:rFonts w:cs="Arial"/>
          <w:sz w:val="22"/>
          <w:szCs w:val="22"/>
          <w:lang w:val="et-EE"/>
        </w:rPr>
        <w:t xml:space="preserve">pankrotimenetlus. </w:t>
      </w:r>
    </w:p>
    <w:p w14:paraId="45EF9FE0" w14:textId="14D531F7" w:rsidR="008347DC" w:rsidRPr="00DA3ECD" w:rsidRDefault="008347DC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</w:p>
    <w:p w14:paraId="51EA7F2F" w14:textId="2D1AE245" w:rsidR="008347DC" w:rsidRPr="00DA3ECD" w:rsidRDefault="00DA3ECD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sz w:val="22"/>
          <w:szCs w:val="22"/>
        </w:rPr>
        <w:t xml:space="preserve">15.12.2017 </w:t>
      </w:r>
      <w:r w:rsidR="008347DC" w:rsidRPr="00DA3ECD">
        <w:rPr>
          <w:rFonts w:cs="Arial"/>
          <w:sz w:val="22"/>
          <w:szCs w:val="22"/>
          <w:lang w:val="et-EE"/>
        </w:rPr>
        <w:t xml:space="preserve">kuulutati </w:t>
      </w:r>
      <w:r w:rsidR="0096234E" w:rsidRPr="00DA3ECD">
        <w:rPr>
          <w:rFonts w:cs="Arial"/>
          <w:sz w:val="22"/>
          <w:szCs w:val="22"/>
          <w:lang w:val="et-EE"/>
        </w:rPr>
        <w:t xml:space="preserve">välja </w:t>
      </w:r>
      <w:r w:rsidR="008347DC" w:rsidRPr="00DA3ECD">
        <w:rPr>
          <w:rFonts w:cs="Arial"/>
          <w:sz w:val="22"/>
          <w:szCs w:val="22"/>
          <w:lang w:val="et-EE"/>
        </w:rPr>
        <w:t xml:space="preserve">võlgniku pankrot ja pankrotihalduriks nimetati </w:t>
      </w:r>
      <w:r w:rsidRPr="00DA3ECD">
        <w:rPr>
          <w:rFonts w:cs="Arial"/>
          <w:sz w:val="22"/>
          <w:szCs w:val="22"/>
          <w:lang w:val="et-EE"/>
        </w:rPr>
        <w:t>Martin Krupp</w:t>
      </w:r>
      <w:r w:rsidR="008347DC" w:rsidRPr="00DA3ECD">
        <w:rPr>
          <w:rFonts w:cs="Arial"/>
          <w:sz w:val="22"/>
          <w:szCs w:val="22"/>
          <w:lang w:val="et-EE"/>
        </w:rPr>
        <w:t xml:space="preserve">. </w:t>
      </w:r>
    </w:p>
    <w:p w14:paraId="667BEB77" w14:textId="71270034" w:rsidR="008347DC" w:rsidRPr="00DA3ECD" w:rsidRDefault="008347DC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</w:p>
    <w:p w14:paraId="003FCD45" w14:textId="603942D3" w:rsidR="008347DC" w:rsidRPr="00DA3ECD" w:rsidRDefault="00DA3ECD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rFonts w:cs="Arial"/>
          <w:sz w:val="22"/>
          <w:szCs w:val="22"/>
          <w:lang w:val="et-EE"/>
        </w:rPr>
        <w:t>16</w:t>
      </w:r>
      <w:r w:rsidR="008347DC" w:rsidRPr="00DA3ECD">
        <w:rPr>
          <w:rFonts w:cs="Arial"/>
          <w:sz w:val="22"/>
          <w:szCs w:val="22"/>
          <w:lang w:val="et-EE"/>
        </w:rPr>
        <w:t>.01.2023 esitas pankrotihaldur taotluse menetluse lõpetamise</w:t>
      </w:r>
      <w:r w:rsidR="0096234E" w:rsidRPr="00DA3ECD">
        <w:rPr>
          <w:rFonts w:cs="Arial"/>
          <w:sz w:val="22"/>
          <w:szCs w:val="22"/>
          <w:lang w:val="et-EE"/>
        </w:rPr>
        <w:t>ks</w:t>
      </w:r>
      <w:r w:rsidR="008347DC" w:rsidRPr="00DA3ECD">
        <w:rPr>
          <w:rFonts w:cs="Arial"/>
          <w:sz w:val="22"/>
          <w:szCs w:val="22"/>
          <w:lang w:val="et-EE"/>
        </w:rPr>
        <w:t xml:space="preserve"> raugemisega</w:t>
      </w:r>
      <w:r w:rsidRPr="00DA3ECD">
        <w:rPr>
          <w:rFonts w:cs="Arial"/>
          <w:sz w:val="22"/>
          <w:szCs w:val="22"/>
          <w:lang w:val="et-EE"/>
        </w:rPr>
        <w:t xml:space="preserve"> (taotlust täpsustatud 26.01.2023)</w:t>
      </w:r>
      <w:r w:rsidR="008347DC" w:rsidRPr="00DA3ECD">
        <w:rPr>
          <w:rFonts w:cs="Arial"/>
          <w:sz w:val="22"/>
          <w:szCs w:val="22"/>
          <w:lang w:val="et-EE"/>
        </w:rPr>
        <w:t xml:space="preserve">. </w:t>
      </w:r>
      <w:r w:rsidRPr="00DA3ECD">
        <w:rPr>
          <w:rFonts w:cs="Arial"/>
          <w:sz w:val="22"/>
          <w:szCs w:val="22"/>
          <w:lang w:val="et-EE"/>
        </w:rPr>
        <w:t>27</w:t>
      </w:r>
      <w:r w:rsidR="008347DC" w:rsidRPr="00DA3ECD">
        <w:rPr>
          <w:rFonts w:cs="Arial"/>
          <w:sz w:val="22"/>
          <w:szCs w:val="22"/>
          <w:lang w:val="et-EE"/>
        </w:rPr>
        <w:t>.01.2023 tegi kohus ettepaneku tasuda pankrotimenetluse jätkamiseks deposiiti 1</w:t>
      </w:r>
      <w:r w:rsidRPr="00DA3ECD">
        <w:rPr>
          <w:rFonts w:cs="Arial"/>
          <w:sz w:val="22"/>
          <w:szCs w:val="22"/>
          <w:lang w:val="et-EE"/>
        </w:rPr>
        <w:t>0</w:t>
      </w:r>
      <w:r w:rsidR="008347DC" w:rsidRPr="00DA3ECD">
        <w:rPr>
          <w:rFonts w:cs="Arial"/>
          <w:sz w:val="22"/>
          <w:szCs w:val="22"/>
          <w:lang w:val="et-EE"/>
        </w:rPr>
        <w:t xml:space="preserve">00 eurot, tähtaeg </w:t>
      </w:r>
      <w:r w:rsidR="0096234E" w:rsidRPr="00DA3ECD">
        <w:rPr>
          <w:rFonts w:cs="Arial"/>
          <w:sz w:val="22"/>
          <w:szCs w:val="22"/>
          <w:lang w:val="et-EE"/>
        </w:rPr>
        <w:t>selleks oli</w:t>
      </w:r>
      <w:r w:rsidR="008347DC" w:rsidRPr="00DA3ECD">
        <w:rPr>
          <w:rFonts w:cs="Arial"/>
          <w:sz w:val="22"/>
          <w:szCs w:val="22"/>
          <w:lang w:val="et-EE"/>
        </w:rPr>
        <w:t xml:space="preserve"> </w:t>
      </w:r>
      <w:r w:rsidRPr="00DA3ECD">
        <w:rPr>
          <w:rFonts w:cs="Arial"/>
          <w:sz w:val="22"/>
          <w:szCs w:val="22"/>
          <w:lang w:val="et-EE"/>
        </w:rPr>
        <w:t>06.02</w:t>
      </w:r>
      <w:r w:rsidR="008347DC" w:rsidRPr="00DA3ECD">
        <w:rPr>
          <w:rFonts w:cs="Arial"/>
          <w:sz w:val="22"/>
          <w:szCs w:val="22"/>
          <w:lang w:val="et-EE"/>
        </w:rPr>
        <w:t>.2023.</w:t>
      </w:r>
      <w:r w:rsidR="0096234E" w:rsidRPr="00DA3ECD">
        <w:rPr>
          <w:rFonts w:cs="Arial"/>
          <w:sz w:val="22"/>
          <w:szCs w:val="22"/>
          <w:lang w:val="et-EE"/>
        </w:rPr>
        <w:t xml:space="preserve"> Deposiiti ei ole tasutud. Menetluses </w:t>
      </w:r>
      <w:r w:rsidRPr="00DA3ECD">
        <w:rPr>
          <w:rFonts w:cs="Arial"/>
          <w:sz w:val="22"/>
          <w:szCs w:val="22"/>
          <w:lang w:val="et-EE"/>
        </w:rPr>
        <w:t xml:space="preserve">on </w:t>
      </w:r>
      <w:r w:rsidR="00196F63">
        <w:rPr>
          <w:rFonts w:cs="Arial"/>
          <w:sz w:val="22"/>
          <w:szCs w:val="22"/>
          <w:lang w:val="et-EE"/>
        </w:rPr>
        <w:t>tunnustatud ühe</w:t>
      </w:r>
      <w:r w:rsidRPr="00DA3ECD">
        <w:rPr>
          <w:rFonts w:cs="Arial"/>
          <w:sz w:val="22"/>
          <w:szCs w:val="22"/>
          <w:lang w:val="et-EE"/>
        </w:rPr>
        <w:t xml:space="preserve"> võlausaldaja</w:t>
      </w:r>
      <w:r w:rsidR="00196F63">
        <w:rPr>
          <w:rFonts w:cs="Arial"/>
          <w:sz w:val="22"/>
          <w:szCs w:val="22"/>
          <w:lang w:val="et-EE"/>
        </w:rPr>
        <w:t xml:space="preserve"> nõue</w:t>
      </w:r>
      <w:r w:rsidRPr="00DA3ECD">
        <w:rPr>
          <w:rFonts w:cs="Arial"/>
          <w:sz w:val="22"/>
          <w:szCs w:val="22"/>
          <w:lang w:val="et-EE"/>
        </w:rPr>
        <w:t>, kes esitas pankrotiavalduse ja kes on seni ka menetlust finantseerinud</w:t>
      </w:r>
      <w:r w:rsidR="0096234E" w:rsidRPr="00DA3ECD">
        <w:rPr>
          <w:rFonts w:cs="Arial"/>
          <w:sz w:val="22"/>
          <w:szCs w:val="22"/>
          <w:lang w:val="et-EE"/>
        </w:rPr>
        <w:t xml:space="preserve">. </w:t>
      </w:r>
    </w:p>
    <w:p w14:paraId="74CBF944" w14:textId="50269BB7" w:rsidR="008347DC" w:rsidRPr="00DA3ECD" w:rsidRDefault="008347DC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</w:p>
    <w:p w14:paraId="669A4F76" w14:textId="34E62488" w:rsidR="00F93D08" w:rsidRPr="00DA3ECD" w:rsidRDefault="0096234E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rFonts w:cs="Arial"/>
          <w:sz w:val="22"/>
          <w:szCs w:val="22"/>
          <w:lang w:val="et-EE"/>
        </w:rPr>
        <w:t xml:space="preserve">Kohus teeb </w:t>
      </w:r>
      <w:proofErr w:type="spellStart"/>
      <w:r w:rsidRPr="00DA3ECD">
        <w:rPr>
          <w:rFonts w:cs="Arial"/>
          <w:sz w:val="22"/>
          <w:szCs w:val="22"/>
          <w:lang w:val="et-EE"/>
        </w:rPr>
        <w:t>PankrS</w:t>
      </w:r>
      <w:proofErr w:type="spellEnd"/>
      <w:r w:rsidRPr="00DA3ECD">
        <w:rPr>
          <w:rFonts w:cs="Arial"/>
          <w:sz w:val="22"/>
          <w:szCs w:val="22"/>
          <w:lang w:val="et-EE"/>
        </w:rPr>
        <w:t xml:space="preserve"> § 192</w:t>
      </w:r>
      <w:r w:rsidRPr="00DA3ECD">
        <w:rPr>
          <w:rFonts w:cs="Arial"/>
          <w:sz w:val="22"/>
          <w:szCs w:val="22"/>
          <w:vertAlign w:val="superscript"/>
          <w:lang w:val="et-EE"/>
        </w:rPr>
        <w:t>11</w:t>
      </w:r>
      <w:r w:rsidRPr="00DA3ECD">
        <w:rPr>
          <w:rFonts w:cs="Arial"/>
          <w:sz w:val="22"/>
          <w:szCs w:val="22"/>
          <w:lang w:val="et-EE"/>
        </w:rPr>
        <w:t xml:space="preserve"> lg 1 alusel</w:t>
      </w:r>
      <w:r w:rsidRPr="00DA3ECD">
        <w:rPr>
          <w:rFonts w:cs="Arial"/>
          <w:i/>
          <w:sz w:val="22"/>
          <w:szCs w:val="22"/>
          <w:lang w:val="et-EE"/>
        </w:rPr>
        <w:t xml:space="preserve"> </w:t>
      </w:r>
      <w:r w:rsidRPr="00DA3ECD">
        <w:rPr>
          <w:rFonts w:cs="Arial"/>
          <w:sz w:val="22"/>
          <w:szCs w:val="22"/>
          <w:lang w:val="et-EE"/>
        </w:rPr>
        <w:t xml:space="preserve">maksejõuetuse teenistusele ettepaneku kohtule avalduse esitamiseks pankrotimenetluse läbiviimiseks avaliku uurimisena. Avalduse esitamise tähtaeg on </w:t>
      </w:r>
      <w:r w:rsidR="00DA3ECD" w:rsidRPr="00DA3ECD">
        <w:rPr>
          <w:rFonts w:cs="Arial"/>
          <w:sz w:val="22"/>
          <w:szCs w:val="22"/>
          <w:lang w:val="et-EE"/>
        </w:rPr>
        <w:t>2</w:t>
      </w:r>
      <w:r w:rsidR="00653E3D">
        <w:rPr>
          <w:rFonts w:cs="Arial"/>
          <w:sz w:val="22"/>
          <w:szCs w:val="22"/>
          <w:lang w:val="et-EE"/>
        </w:rPr>
        <w:t>7</w:t>
      </w:r>
      <w:bookmarkStart w:id="1" w:name="_GoBack"/>
      <w:bookmarkEnd w:id="1"/>
      <w:r w:rsidRPr="00DA3ECD">
        <w:rPr>
          <w:rFonts w:cs="Arial"/>
          <w:sz w:val="22"/>
          <w:szCs w:val="22"/>
          <w:lang w:val="et-EE"/>
        </w:rPr>
        <w:t xml:space="preserve">.02.2023. Vajadusel on võimalik taotleda tähtaja pikendamist. </w:t>
      </w:r>
    </w:p>
    <w:p w14:paraId="7D55D13F" w14:textId="77777777" w:rsidR="0096234E" w:rsidRPr="00DA3ECD" w:rsidRDefault="0096234E" w:rsidP="00D70267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</w:p>
    <w:p w14:paraId="53D46443" w14:textId="4B2A9706" w:rsidR="009C3FD3" w:rsidRPr="00DA3ECD" w:rsidRDefault="009C3FD3" w:rsidP="009C3FD3">
      <w:pPr>
        <w:tabs>
          <w:tab w:val="left" w:pos="7320"/>
        </w:tabs>
        <w:jc w:val="both"/>
        <w:rPr>
          <w:rFonts w:cs="Arial"/>
          <w:i/>
          <w:sz w:val="22"/>
          <w:szCs w:val="22"/>
          <w:lang w:val="et-EE"/>
        </w:rPr>
      </w:pPr>
      <w:r w:rsidRPr="00DA3ECD">
        <w:rPr>
          <w:rFonts w:cs="Arial"/>
          <w:i/>
          <w:sz w:val="22"/>
          <w:szCs w:val="22"/>
          <w:lang w:val="et-EE"/>
        </w:rPr>
        <w:t>/Allkirjastatud digitaalselt/</w:t>
      </w:r>
      <w:r w:rsidR="00337F7B" w:rsidRPr="00DA3ECD">
        <w:rPr>
          <w:rFonts w:cs="Arial"/>
          <w:i/>
          <w:sz w:val="22"/>
          <w:szCs w:val="22"/>
          <w:lang w:val="et-EE"/>
        </w:rPr>
        <w:t xml:space="preserve"> </w:t>
      </w:r>
    </w:p>
    <w:p w14:paraId="4DE6DEB8" w14:textId="77777777" w:rsidR="008A11A1" w:rsidRPr="00DA3ECD" w:rsidRDefault="008A11A1" w:rsidP="009C3FD3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</w:p>
    <w:p w14:paraId="61BB94B3" w14:textId="6EC9C712" w:rsidR="009C3FD3" w:rsidRPr="00DA3ECD" w:rsidRDefault="000D46FF" w:rsidP="009C3FD3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rFonts w:cs="Arial"/>
          <w:sz w:val="22"/>
          <w:szCs w:val="22"/>
          <w:lang w:val="et-EE"/>
        </w:rPr>
        <w:t>Kadi Kark</w:t>
      </w:r>
    </w:p>
    <w:p w14:paraId="5F3E0872" w14:textId="41365200" w:rsidR="005E0F41" w:rsidRPr="00C60F66" w:rsidRDefault="000D46FF" w:rsidP="00C60F66">
      <w:pPr>
        <w:tabs>
          <w:tab w:val="left" w:pos="7320"/>
        </w:tabs>
        <w:jc w:val="both"/>
        <w:rPr>
          <w:rFonts w:cs="Arial"/>
          <w:sz w:val="22"/>
          <w:szCs w:val="22"/>
          <w:lang w:val="et-EE"/>
        </w:rPr>
      </w:pPr>
      <w:r w:rsidRPr="00DA3ECD">
        <w:rPr>
          <w:rFonts w:cs="Arial"/>
          <w:sz w:val="22"/>
          <w:szCs w:val="22"/>
          <w:lang w:val="et-EE"/>
        </w:rPr>
        <w:t>Kohtunik</w:t>
      </w:r>
    </w:p>
    <w:p w14:paraId="4D6ED3E9" w14:textId="5781B688" w:rsidR="009C6417" w:rsidRPr="005E0F41" w:rsidRDefault="009C6417" w:rsidP="009C6417">
      <w:pPr>
        <w:rPr>
          <w:rFonts w:ascii="Times New Roman" w:hAnsi="Times New Roman" w:cs="Times New Roman"/>
          <w:sz w:val="24"/>
          <w:lang w:val="et-EE"/>
        </w:rPr>
      </w:pPr>
    </w:p>
    <w:sectPr w:rsidR="009C6417" w:rsidRPr="005E0F41" w:rsidSect="00C60F66">
      <w:headerReference w:type="default" r:id="rId12"/>
      <w:footerReference w:type="default" r:id="rId13"/>
      <w:pgSz w:w="11900" w:h="16840"/>
      <w:pgMar w:top="3261" w:right="84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61695"/>
    <w:multiLevelType w:val="hybridMultilevel"/>
    <w:tmpl w:val="27F0921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58C"/>
    <w:multiLevelType w:val="hybridMultilevel"/>
    <w:tmpl w:val="C2D02B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968DD"/>
    <w:multiLevelType w:val="hybridMultilevel"/>
    <w:tmpl w:val="56DCC9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50683"/>
    <w:rsid w:val="00053E82"/>
    <w:rsid w:val="000613B2"/>
    <w:rsid w:val="000A17C8"/>
    <w:rsid w:val="000D46FF"/>
    <w:rsid w:val="001359DE"/>
    <w:rsid w:val="00196F63"/>
    <w:rsid w:val="001B576F"/>
    <w:rsid w:val="001C776C"/>
    <w:rsid w:val="001D2480"/>
    <w:rsid w:val="002665A8"/>
    <w:rsid w:val="002719AB"/>
    <w:rsid w:val="002D0D16"/>
    <w:rsid w:val="002F41B0"/>
    <w:rsid w:val="002F71A3"/>
    <w:rsid w:val="00337F7B"/>
    <w:rsid w:val="003417DD"/>
    <w:rsid w:val="0035052A"/>
    <w:rsid w:val="0036180F"/>
    <w:rsid w:val="003810BD"/>
    <w:rsid w:val="003C08C5"/>
    <w:rsid w:val="003D56C4"/>
    <w:rsid w:val="003F0460"/>
    <w:rsid w:val="003F56E9"/>
    <w:rsid w:val="003F6F57"/>
    <w:rsid w:val="00433F56"/>
    <w:rsid w:val="004365BC"/>
    <w:rsid w:val="004879B3"/>
    <w:rsid w:val="004900A5"/>
    <w:rsid w:val="00494C7C"/>
    <w:rsid w:val="004A1192"/>
    <w:rsid w:val="004D58DF"/>
    <w:rsid w:val="004E6BB5"/>
    <w:rsid w:val="0051481A"/>
    <w:rsid w:val="00562726"/>
    <w:rsid w:val="005A21DB"/>
    <w:rsid w:val="005E0F41"/>
    <w:rsid w:val="00653E3D"/>
    <w:rsid w:val="006B6934"/>
    <w:rsid w:val="006B71CB"/>
    <w:rsid w:val="006E7857"/>
    <w:rsid w:val="006F03E6"/>
    <w:rsid w:val="006F56FF"/>
    <w:rsid w:val="00712EA3"/>
    <w:rsid w:val="00742D67"/>
    <w:rsid w:val="00743308"/>
    <w:rsid w:val="0076713A"/>
    <w:rsid w:val="00791DB2"/>
    <w:rsid w:val="007F6A24"/>
    <w:rsid w:val="008260A6"/>
    <w:rsid w:val="00831752"/>
    <w:rsid w:val="008347DC"/>
    <w:rsid w:val="0085098A"/>
    <w:rsid w:val="00850A20"/>
    <w:rsid w:val="0086087F"/>
    <w:rsid w:val="008651B6"/>
    <w:rsid w:val="00873A81"/>
    <w:rsid w:val="008A11A1"/>
    <w:rsid w:val="008A49AC"/>
    <w:rsid w:val="008C2CF1"/>
    <w:rsid w:val="008E3D59"/>
    <w:rsid w:val="008F0FC9"/>
    <w:rsid w:val="008F1F30"/>
    <w:rsid w:val="0095746D"/>
    <w:rsid w:val="0096234E"/>
    <w:rsid w:val="009841E7"/>
    <w:rsid w:val="00986594"/>
    <w:rsid w:val="009A705B"/>
    <w:rsid w:val="009C3FD3"/>
    <w:rsid w:val="009C6417"/>
    <w:rsid w:val="009E0244"/>
    <w:rsid w:val="00A252B8"/>
    <w:rsid w:val="00A76594"/>
    <w:rsid w:val="00A87BC8"/>
    <w:rsid w:val="00AD57A0"/>
    <w:rsid w:val="00B1243C"/>
    <w:rsid w:val="00B310B5"/>
    <w:rsid w:val="00B57933"/>
    <w:rsid w:val="00B84ABB"/>
    <w:rsid w:val="00B9441B"/>
    <w:rsid w:val="00BC1A25"/>
    <w:rsid w:val="00BC4302"/>
    <w:rsid w:val="00BC6279"/>
    <w:rsid w:val="00C062F1"/>
    <w:rsid w:val="00C33D88"/>
    <w:rsid w:val="00C35555"/>
    <w:rsid w:val="00C4094F"/>
    <w:rsid w:val="00C431C9"/>
    <w:rsid w:val="00C54664"/>
    <w:rsid w:val="00C60F66"/>
    <w:rsid w:val="00C62809"/>
    <w:rsid w:val="00C8651B"/>
    <w:rsid w:val="00C9319E"/>
    <w:rsid w:val="00CA0A5B"/>
    <w:rsid w:val="00CD3E78"/>
    <w:rsid w:val="00CE039A"/>
    <w:rsid w:val="00CE278A"/>
    <w:rsid w:val="00D50FE8"/>
    <w:rsid w:val="00D5787E"/>
    <w:rsid w:val="00D70267"/>
    <w:rsid w:val="00D954A9"/>
    <w:rsid w:val="00DA1915"/>
    <w:rsid w:val="00DA3ECD"/>
    <w:rsid w:val="00DA6009"/>
    <w:rsid w:val="00E230C6"/>
    <w:rsid w:val="00E349D5"/>
    <w:rsid w:val="00E56059"/>
    <w:rsid w:val="00E579A0"/>
    <w:rsid w:val="00E7252F"/>
    <w:rsid w:val="00EA60F7"/>
    <w:rsid w:val="00EB066C"/>
    <w:rsid w:val="00EB0DA6"/>
    <w:rsid w:val="00EC0794"/>
    <w:rsid w:val="00ED24E6"/>
    <w:rsid w:val="00EE3824"/>
    <w:rsid w:val="00EE667C"/>
    <w:rsid w:val="00F1359E"/>
    <w:rsid w:val="00F14807"/>
    <w:rsid w:val="00F314BB"/>
    <w:rsid w:val="00F33FEA"/>
    <w:rsid w:val="00F35341"/>
    <w:rsid w:val="00F93D08"/>
    <w:rsid w:val="00F95C84"/>
    <w:rsid w:val="00FC0B86"/>
    <w:rsid w:val="00FC186C"/>
    <w:rsid w:val="00FD2773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BB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E6BB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rsid w:val="0076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7D03DA-A04F-433B-A69C-895271BC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Kark</dc:creator>
  <cp:keywords/>
  <dc:description/>
  <cp:lastModifiedBy>Kadi Kark</cp:lastModifiedBy>
  <cp:revision>5</cp:revision>
  <dcterms:created xsi:type="dcterms:W3CDTF">2023-02-01T17:08:00Z</dcterms:created>
  <dcterms:modified xsi:type="dcterms:W3CDTF">2023-02-10T09:17:00Z</dcterms:modified>
</cp:coreProperties>
</file>